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6"/>
        <w:gridCol w:w="545"/>
        <w:gridCol w:w="794"/>
        <w:gridCol w:w="1185"/>
        <w:gridCol w:w="731"/>
        <w:gridCol w:w="4922"/>
        <w:gridCol w:w="756"/>
        <w:gridCol w:w="693"/>
        <w:gridCol w:w="4851"/>
      </w:tblGrid>
      <w:tr w14:paraId="5C540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218A82A"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附件</w:t>
            </w:r>
          </w:p>
        </w:tc>
        <w:tc>
          <w:tcPr>
            <w:tcW w:w="1447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F3AB1F">
            <w:pPr>
              <w:widowControl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highlight w:val="none"/>
                <w:lang w:eastAsia="zh-CN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highlight w:val="none"/>
                <w:lang w:eastAsia="zh-CN"/>
              </w:rPr>
              <w:t>专利审查协作河南中心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highlight w:val="none"/>
              </w:rPr>
              <w:t>20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25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highlight w:val="none"/>
              </w:rPr>
              <w:t>年度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highlight w:val="none"/>
                <w:lang w:eastAsia="zh-CN"/>
              </w:rPr>
              <w:t>专利审查员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highlight w:val="none"/>
              </w:rPr>
              <w:t>公开招聘岗位信息表</w:t>
            </w:r>
          </w:p>
        </w:tc>
      </w:tr>
      <w:tr w14:paraId="3A340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6D8A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A666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工作部门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A9C3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招聘岗位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82B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主要职责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DD4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招聘</w:t>
            </w:r>
          </w:p>
          <w:p w14:paraId="3DA252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人数</w:t>
            </w:r>
          </w:p>
        </w:tc>
        <w:tc>
          <w:tcPr>
            <w:tcW w:w="11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5E81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岗位条件</w:t>
            </w:r>
          </w:p>
        </w:tc>
      </w:tr>
      <w:tr w14:paraId="4590F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B4A02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545FF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7AB1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7D238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689BE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A8E9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专业及代码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CA0D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学历</w:t>
            </w:r>
          </w:p>
          <w:p w14:paraId="1A7DBA6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学位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D98D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0004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其他条件</w:t>
            </w:r>
          </w:p>
        </w:tc>
      </w:tr>
      <w:tr w14:paraId="41103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333A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FC95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发明审查部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7978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H101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通用机械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C725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负责通用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机械领域发明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专利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申请的实质审查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848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76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机械工程(080200、085501)、机械制造及其自动化(080201)、机械设计及理论(080203)、机械电子工程(080202)等相关专业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139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理工类研究生学历，取得工学、理学或工程类等硕士或博士学位。</w:t>
            </w:r>
          </w:p>
          <w:p w14:paraId="19A242A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6C66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不限</w:t>
            </w:r>
          </w:p>
          <w:p w14:paraId="1CC1091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41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具有中华人民共和国国籍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，拥护并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遵守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宪法和法律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4DEDF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拥护中国共产党领导和社会主义制度。</w:t>
            </w:r>
          </w:p>
          <w:p w14:paraId="2E9EF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具有良好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的政治素质和道德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品行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79B89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胜任岗位所需要的知识水平和扎实的专业功底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。应聘者应具备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理工类研究生学历，取得工学、理学或工程类等硕士或博士学位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拥有专利相关工作经验者优先。具体见职位要求。</w:t>
            </w:r>
          </w:p>
          <w:p w14:paraId="0CCEA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身体健康，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一般要求年龄在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35岁以下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有相关工作经历者，可适当放宽。</w:t>
            </w:r>
          </w:p>
          <w:p w14:paraId="6AC23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英语水平良好，通过大学英语六级考试或具有同等英语水平。拥有其他外语语言能力者优先。</w:t>
            </w:r>
          </w:p>
          <w:p w14:paraId="1C616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.具有下列情况之一的人员不得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：</w:t>
            </w:r>
          </w:p>
          <w:p w14:paraId="122FA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（1）因犯罪受过刑事处罚的人员；</w:t>
            </w:r>
          </w:p>
          <w:p w14:paraId="5060E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（2）曾被开除党籍、公职的人员；</w:t>
            </w:r>
          </w:p>
          <w:p w14:paraId="0B2AD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）曾因违法违纪被事业单位解除聘用合同的人员；</w:t>
            </w:r>
          </w:p>
          <w:p w14:paraId="63E24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）曾在各级公职人员招考中被认定有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弊等严重违反考试录用纪律行为、还在禁考期的人员；</w:t>
            </w:r>
          </w:p>
          <w:p w14:paraId="313DD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）被依法列入失信联合惩戒对象名单的人员；</w:t>
            </w:r>
          </w:p>
          <w:p w14:paraId="3C84CED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（6）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存在法律法规规定不得聘用为事业单位工作人员的其他情形的人员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。</w:t>
            </w:r>
          </w:p>
          <w:p w14:paraId="16152D9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77CE0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56221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  <w:p w14:paraId="06FFA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具有中华人民共和国国籍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，拥护并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遵守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宪法和法律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5647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拥护中国共产党领导和社会主义制度。</w:t>
            </w:r>
          </w:p>
          <w:p w14:paraId="7BDAA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具有良好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的政治素质和道德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品行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59A80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胜任岗位所需要的知识水平和扎实的专业功底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。应聘者应具备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理工类研究生学历，取得工学、理学或工程类等硕士或博士学位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拥有专利相关工作经验者优先。具体见职位要求。</w:t>
            </w:r>
          </w:p>
          <w:p w14:paraId="5600E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身体健康，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一般要求年龄在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35岁以下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有相关工作经历者，可适当放宽。</w:t>
            </w:r>
          </w:p>
          <w:p w14:paraId="4FF62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英语水平良好，通过大学英语六级考试或具有同等英语水平。拥有其他外语语言能力者优先。</w:t>
            </w:r>
          </w:p>
          <w:p w14:paraId="0D644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.具有下列情况之一的人员不得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：</w:t>
            </w:r>
          </w:p>
          <w:p w14:paraId="1FCD6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（1）因犯罪受过刑事处罚的人员；</w:t>
            </w:r>
          </w:p>
          <w:p w14:paraId="3105C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（2）曾被开除党籍、公职的人员；</w:t>
            </w:r>
          </w:p>
          <w:p w14:paraId="7D75D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）曾因违法违纪被事业单位解除聘用合同的人员；</w:t>
            </w:r>
          </w:p>
          <w:p w14:paraId="7385E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）曾在各级公职人员招考中被认定有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弊等严重违反考试录用纪律行为、还在禁考期的人员；</w:t>
            </w:r>
          </w:p>
          <w:p w14:paraId="19082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）被依法列入失信联合惩戒对象名单的人员；</w:t>
            </w:r>
          </w:p>
          <w:p w14:paraId="61EF6195">
            <w:pPr>
              <w:widowControl/>
              <w:tabs>
                <w:tab w:val="left" w:pos="986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（6）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存在法律法规规定不得聘用为事业单位工作人员的其他情形的人员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。</w:t>
            </w:r>
          </w:p>
          <w:p w14:paraId="12C6D385">
            <w:pPr>
              <w:widowControl/>
              <w:tabs>
                <w:tab w:val="left" w:pos="986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43D13D54">
            <w:pPr>
              <w:widowControl/>
              <w:tabs>
                <w:tab w:val="left" w:pos="986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</w:p>
          <w:p w14:paraId="0F9554AB">
            <w:pPr>
              <w:widowControl/>
              <w:tabs>
                <w:tab w:val="left" w:pos="986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</w:p>
          <w:p w14:paraId="69754815">
            <w:pPr>
              <w:widowControl/>
              <w:tabs>
                <w:tab w:val="left" w:pos="986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</w:p>
          <w:p w14:paraId="161B9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具有中华人民共和国国籍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，拥护并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遵守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宪法和法律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1D54D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拥护中国共产党领导和社会主义制度。</w:t>
            </w:r>
          </w:p>
          <w:p w14:paraId="553B9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具有良好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的政治素质和道德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品行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34A60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胜任岗位所需要的知识水平和扎实的专业功底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。应聘者应具备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理工类研究生学历，取得工学、理学或工程类等硕士或博士学位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拥有专利相关工作经验者优先。具体见职位要求。</w:t>
            </w:r>
          </w:p>
          <w:p w14:paraId="75BED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身体健康，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一般要求年龄在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35岁以下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有相关工作经历者，可适当放宽。</w:t>
            </w:r>
          </w:p>
          <w:p w14:paraId="7C2EC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英语水平良好，通过大学英语六级考试或具有同等英语水平。拥有其他外语语言能力者优先。</w:t>
            </w:r>
          </w:p>
          <w:p w14:paraId="4F794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.具有下列情况之一的人员不得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：</w:t>
            </w:r>
          </w:p>
          <w:p w14:paraId="38299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（1）因犯罪受过刑事处罚的人员；</w:t>
            </w:r>
          </w:p>
          <w:p w14:paraId="18968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（2）曾被开除党籍、公职的人员；</w:t>
            </w:r>
          </w:p>
          <w:p w14:paraId="267AA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）曾因违法违纪被事业单位解除聘用合同的人员；</w:t>
            </w:r>
          </w:p>
          <w:p w14:paraId="166FA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）曾在各级公职人员招考中被认定有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弊等严重违反考试录用纪律行为、还在禁考期的人员；</w:t>
            </w:r>
          </w:p>
          <w:p w14:paraId="16F50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）被依法列入失信联合惩戒对象名单的人员；</w:t>
            </w:r>
          </w:p>
          <w:p w14:paraId="7848768F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（6）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存在法律法规规定不得聘用为事业单位工作人员的其他情形的人员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。</w:t>
            </w:r>
          </w:p>
          <w:p w14:paraId="2C91ECB6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4EC739D4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246F5FA2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2F2A83D5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11390498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1D51DCFB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48FC9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具有中华人民共和国国籍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，拥护并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遵守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宪法和法律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01D7C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拥护中国共产党领导和社会主义制度。</w:t>
            </w:r>
          </w:p>
          <w:p w14:paraId="72AE6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具有良好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的政治素质和道德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品行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08853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胜任岗位所需要的知识水平和扎实的专业功底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。应聘者应具备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理工类研究生学历，取得工学、理学或工程类等硕士或博士学位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拥有专利相关工作经验者优先。具体见职位要求。</w:t>
            </w:r>
          </w:p>
          <w:p w14:paraId="3BC3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身体健康，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一般要求年龄在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35岁以下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有相关工作经历者，可适当放宽。</w:t>
            </w:r>
          </w:p>
          <w:p w14:paraId="367D0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英语水平良好，通过大学英语六级考试或具有同等英语水平。拥有其他外语语言能力者优先。</w:t>
            </w:r>
          </w:p>
          <w:p w14:paraId="5F9D0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.具有下列情况之一的人员不得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：</w:t>
            </w:r>
          </w:p>
          <w:p w14:paraId="5BE34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（1）因犯罪受过刑事处罚的人员；</w:t>
            </w:r>
          </w:p>
          <w:p w14:paraId="03AD5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（2）曾被开除党籍、公职的人员；</w:t>
            </w:r>
          </w:p>
          <w:p w14:paraId="2F3EC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）曾因违法违纪被事业单位解除聘用合同的人员；</w:t>
            </w:r>
          </w:p>
          <w:p w14:paraId="18053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）曾在各级公职人员招考中被认定有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弊等严重违反考试录用纪律行为、还在禁考期的人员；</w:t>
            </w:r>
          </w:p>
          <w:p w14:paraId="22210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）被依法列入失信联合惩戒对象名单的人员；</w:t>
            </w:r>
          </w:p>
          <w:p w14:paraId="51FEA486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（6）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存在法律法规规定不得聘用为事业单位工作人员的其他情形的人员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。</w:t>
            </w:r>
          </w:p>
          <w:p w14:paraId="3F63B8D1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66AD500D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6628DFA3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4381A7A4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70A89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具有中华人民共和国国籍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，拥护并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遵守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宪法和法律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38696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拥护中国共产党领导和社会主义制度。</w:t>
            </w:r>
          </w:p>
          <w:p w14:paraId="26B19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具有良好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的政治素质和道德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品行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568E4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胜任岗位所需要的知识水平和扎实的专业功底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。应聘者应具备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理工类研究生学历，取得工学、理学或工程类等硕士或博士学位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拥有专利相关工作经验者优先。具体见职位要求。</w:t>
            </w:r>
          </w:p>
          <w:p w14:paraId="19CF3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身体健康，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一般要求年龄在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35岁以下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有相关工作经历者，可适当放宽。</w:t>
            </w:r>
          </w:p>
          <w:p w14:paraId="579A7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英语水平良好，通过大学英语六级考试或具有同等英语水平。拥有其他外语语言能力者优先。</w:t>
            </w:r>
          </w:p>
          <w:p w14:paraId="7384C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.具有下列情况之一的人员不得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：</w:t>
            </w:r>
          </w:p>
          <w:p w14:paraId="2C862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（1）因犯罪受过刑事处罚的人员；</w:t>
            </w:r>
          </w:p>
          <w:p w14:paraId="4CBD5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（2）曾被开除党籍、公职的人员；</w:t>
            </w:r>
          </w:p>
          <w:p w14:paraId="1BC38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）曾因违法违纪被事业单位解除聘用合同的人员；</w:t>
            </w:r>
          </w:p>
          <w:p w14:paraId="40184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）曾在各级公职人员招考中被认定有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弊等严重违反考试录用纪律行为、还在禁考期的人员；</w:t>
            </w:r>
          </w:p>
          <w:p w14:paraId="626C6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）被依法列入失信联合惩戒对象名单的人员；</w:t>
            </w:r>
          </w:p>
          <w:p w14:paraId="2C2F1FB6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（6）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存在法律法规规定不得聘用为事业单位工作人员的其他情形的人员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 w14:paraId="6A027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BC7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22C2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发明审查部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2205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H102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5071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负责车辆工程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领域发明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专利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申请的实质审查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B2C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80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车辆工程(080204、085502、080207)、智能车辆工程(080214T)、新能源汽车工程(080216T)、交通运输（086100、081801）、交通工程（081802）、交通运输工程（082300）等相关专业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AF92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60D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229F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6BB68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0442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5569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电学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发明审查部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3C0B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H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201电力技术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4949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负责电力技术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领域发明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专利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申请的实质审查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7A0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0E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及其自动化(080802)、电力电子与电力传动(080804)、电工理论与新技术(080805)、电气工程(080800、085801)、电机与电器(080801)、电气工程及其自动化(080601)、智能电网信息工程(080602T)、电气工程与智能控制(080604T)等相关专业，或具有相应课题、项目经验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537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F3FF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569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  <w:lang w:eastAsia="zh-CN"/>
              </w:rPr>
            </w:pPr>
          </w:p>
        </w:tc>
      </w:tr>
      <w:tr w14:paraId="19AC6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F14D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0E8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电学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发明审查部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4BF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H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202软件工程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AB98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负责软件工程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领域发明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专利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申请的实质审查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2594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C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(081200、077500、080901)、计算机系统结构(081201、077501)、计算机软件与理论(081202、077502)、计算机应用技术(081203、077503)、计算机技术(085404)、软件工程(083500、085405、080902)等相关专业，或具有软件开发、软件项目管理、软件测试等相应课题、项目经验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EFD1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53D7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5BEF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  <w:lang w:eastAsia="zh-CN"/>
              </w:rPr>
            </w:pPr>
          </w:p>
        </w:tc>
      </w:tr>
      <w:tr w14:paraId="2FAE0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B3A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0E6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电学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发明审查部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066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H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203人工智能技术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FC8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负责人工智能技术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领域发明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专利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申请的实质审查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17A5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83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智能科学与技术（087600、078800、140500、080907T）、人工智能(085410、080717T)、模式识别与智能系统(081104)、控制工程(085406)(图像处理方向)、计算机科学与技术(081200、077500、080901)、计算机系统结构(081201、077501)、计算机应用技术(081203、077503)、计算机软件与理论(081202、077502)、软件工程(083500、085405、080902)、数据科学与大数据技术(080910T)、大数据管理与应用(120108T)、大数据技术与工程(085411)、区块链工程(080917T)、信息安全(080904K)、密码科学与技术(080918TK)、空间信息与数字技术(080908T)(图像处理方向)、摄影测量与遥感(081602)(图像处理方向)、大地测量学与测量工程(081601)(图像处理方向)、测绘工程(085704、081201)(图像处理方向)、网络与信息安全（085412）等相关专业，或具有图像处理、算法研究、数学建模、大数据、并行计算、分布式技术、区块链等相应课题、项目经验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CB7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理工类研究生学历，取得工学、理学或工程类等硕士或博士学位。</w:t>
            </w:r>
          </w:p>
          <w:p w14:paraId="384711C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497A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不限</w:t>
            </w:r>
          </w:p>
          <w:p w14:paraId="487ABB6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586FD">
            <w:pPr>
              <w:widowControl/>
              <w:tabs>
                <w:tab w:val="left" w:pos="986"/>
              </w:tabs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  <w:lang w:eastAsia="zh-CN"/>
              </w:rPr>
            </w:pPr>
          </w:p>
        </w:tc>
      </w:tr>
      <w:tr w14:paraId="6A6BB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E82D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099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通信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发明审查部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08FE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H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301通信工程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2F80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负责通信工程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领域发明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专利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申请的实质审查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20E4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77548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通信工程(085402、080703)、通信与信息系统(081001)、新一代电子信息技术（含量子技术等）(085401)、信号与信息处理(081002)、信息与通信工程(081000)、电子信息(085400)、电路与系统(080902、077402)、电子科学与技术(080900、077400、080702)、电磁场与微波技术(080904、077404)、网络空间安全(083900、080911TK)、网络与信息安全(085412)、人工智能(085410、080717T)、智能科学与技术(087600、078800、140500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  <w:t>080907T)、计算机技术(085404)、计算机科学与技术(081200、077500、080901)、计算机应用技术(081203、077503)、电子信息工程(080701)、电子信息科学与技术(080714T)、电子与计算机工程(080909T)、信息工程(080706)、电波传播与天线(080713T)、电磁场与无线技术(080712T)、物联网工程(080905)、区块链工程(080917T)、信息安全(080904K)等相关专业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532F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A7CF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291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  <w:lang w:eastAsia="zh-CN"/>
              </w:rPr>
            </w:pPr>
          </w:p>
        </w:tc>
      </w:tr>
      <w:tr w14:paraId="47839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EC40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C05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光电技术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发明审查部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3A8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H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01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计量检测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4FE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负责计量检测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领域发明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专利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申请的实质审查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B5017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9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计量技术及仪器(080402)、精密仪器及机械(080401)、仪器科学与技术(080400)、检测技术与自动化装置（081102）、模式识别与智能系统（081104）、机械电子工程(080202)、机械制造及其自动化(080201)、电力系统及其自动化(080802)、电气工程(080800、085801)、光学工程(080300)（检测测量方向）、光学(070207)（检测测量方向）、光电信息工程(085408)（检测测量方向）、生物医学工程(083100、082601)（核磁检测方向）、电路与系统(080902、077402)、控制科学与工程(081100)（检测测量方向）、控制工程(085406)（检测测量方向）、电子科学与技术(080900、077400、080702)（检测测量方向）、电磁场与微波技术(080904、077404)（检测测量方向）、控制理论与控制工程（081101）、测控技术与仪器(080301)、精密仪器(080302T)、智能感知工程(080303T)、电气工程及其自动化(080601)、电缆工程(080606T)、智能测控工程(080720T)、微电子科学与工程(080704)、电子信息科学与技术(080714T)、电子信息工程(080701)、光电信息科学与工程(080705)（检测测量方向）、医学信息工程(080711T)及其相关专业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A3CF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理工类研究生学历，取得工学、理学或工程类等硕士或博士学位。</w:t>
            </w:r>
          </w:p>
          <w:p w14:paraId="2D2E7B5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03C8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不限</w:t>
            </w:r>
          </w:p>
          <w:p w14:paraId="1CD9739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47E5">
            <w:pPr>
              <w:widowControl/>
              <w:tabs>
                <w:tab w:val="left" w:pos="919"/>
              </w:tabs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  <w:lang w:eastAsia="zh-CN"/>
              </w:rPr>
            </w:pPr>
          </w:p>
        </w:tc>
      </w:tr>
      <w:tr w14:paraId="4F3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6AA4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ACC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光电技术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发明审查部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3D4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H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02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控制与信息工程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313E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负责控制与信息工程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领域发明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专利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申请的实质审查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C67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2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(081100)、计算机科学与技术(081200、077500、080901)、信息与通信工程(081000)、电力系统及其自动化(080802)、机械制造及其自动化(080201)、控制工程(085406)、电路与系统(080902、077402)、声学(070206、070204T)、水声工程(082403、080708T)、人工智能(085410、080717T)、信息与通信工程(081000)、通信工程(085402、080703)、飞行器设计(082501)、农业电气化与自动化(082804)及其相关专业</w:t>
            </w: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7224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854E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4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063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  <w:lang w:eastAsia="zh-CN"/>
              </w:rPr>
            </w:pPr>
          </w:p>
        </w:tc>
      </w:tr>
      <w:tr w14:paraId="5F26B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F547">
            <w:pPr>
              <w:widowControl/>
              <w:jc w:val="both"/>
              <w:rPr>
                <w:rFonts w:ascii="仿宋_GB2312" w:hAnsi="等线" w:eastAsia="仿宋_GB2312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备注：专业名称参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  <w:lang w:eastAsia="zh-CN"/>
              </w:rPr>
              <w:t>考《普通高等学校本科专业目录（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  <w:lang w:val="en-US" w:eastAsia="zh-CN"/>
              </w:rPr>
              <w:t>2024年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  <w:lang w:eastAsia="zh-CN"/>
              </w:rPr>
              <w:t>）》和《研究生教育学科专业目录（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  <w:lang w:val="en-US" w:eastAsia="zh-CN"/>
              </w:rPr>
              <w:t>2022年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  <w:lang w:eastAsia="zh-CN"/>
              </w:rPr>
              <w:t>）》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highlight w:val="none"/>
              </w:rPr>
              <w:t>，对于所学专业接近但不在上述目录中的，考生可与招聘单位联系，确认报名资格。</w:t>
            </w:r>
          </w:p>
        </w:tc>
      </w:tr>
    </w:tbl>
    <w:p w14:paraId="7F6A8168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873CAE3"/>
    <w:sectPr>
      <w:footerReference r:id="rId3" w:type="default"/>
      <w:footerReference r:id="rId4" w:type="even"/>
      <w:pgSz w:w="16838" w:h="11906" w:orient="landscape"/>
      <w:pgMar w:top="1418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0C394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68C49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14</w:t>
    </w:r>
    <w:r>
      <w:fldChar w:fldCharType="end"/>
    </w:r>
  </w:p>
  <w:p w14:paraId="321B825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ODZjYjFiYmIxMDUyNmM1OTcxNTc5NzMwMTRjZWMifQ=="/>
  </w:docVars>
  <w:rsids>
    <w:rsidRoot w:val="00000000"/>
    <w:rsid w:val="27A867EA"/>
    <w:rsid w:val="60F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事业单位"/>
    <w:basedOn w:val="1"/>
    <w:uiPriority w:val="0"/>
    <w:pPr>
      <w:spacing w:line="360" w:lineRule="exact"/>
    </w:pPr>
    <w:rPr>
      <w:rFonts w:asciiTheme="minorAscii" w:hAnsiTheme="minorAscii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2021-01-26T08:08:00Z</dcterms:created>
  <dc:creator>yangjingya</dc:creator>
  <cp:lastModifiedBy>❥°mmmmヽ淑✿･</cp:lastModifiedBy>
  <dcterms:modified xsi:type="dcterms:W3CDTF">2024-09-12T00:29:19Z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75B4196B194F4D9D8D5C97BDDA8D7E9B_12</vt:lpwstr>
  </property>
</Properties>
</file>